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29368" w14:textId="0B87B7C1" w:rsidR="00725036" w:rsidRPr="00725036" w:rsidRDefault="00725036" w:rsidP="00725036">
      <w:pPr>
        <w:spacing w:after="0" w:line="240" w:lineRule="auto"/>
        <w:rPr>
          <w:rFonts w:eastAsia="Aptos" w:cstheme="minorHAnsi"/>
          <w:b/>
          <w:bCs/>
          <w:kern w:val="0"/>
        </w:rPr>
      </w:pPr>
      <w:r w:rsidRPr="00725036">
        <w:rPr>
          <w:rFonts w:eastAsia="Aptos" w:cstheme="minorHAnsi"/>
          <w:b/>
          <w:bCs/>
          <w:kern w:val="0"/>
        </w:rPr>
        <w:t>Re-banding Requests Received Between the Completion of the Allocations for E</w:t>
      </w:r>
      <w:r>
        <w:rPr>
          <w:rFonts w:eastAsia="Aptos" w:cstheme="minorHAnsi"/>
          <w:b/>
          <w:bCs/>
          <w:kern w:val="0"/>
        </w:rPr>
        <w:t>T</w:t>
      </w:r>
      <w:r w:rsidRPr="00725036">
        <w:rPr>
          <w:rFonts w:eastAsia="Aptos" w:cstheme="minorHAnsi"/>
          <w:b/>
          <w:bCs/>
          <w:kern w:val="0"/>
        </w:rPr>
        <w:t>3 and the Commencement of the E</w:t>
      </w:r>
      <w:r>
        <w:rPr>
          <w:rFonts w:eastAsia="Aptos" w:cstheme="minorHAnsi"/>
          <w:b/>
          <w:bCs/>
          <w:kern w:val="0"/>
        </w:rPr>
        <w:t>T</w:t>
      </w:r>
      <w:r w:rsidRPr="00725036">
        <w:rPr>
          <w:rFonts w:eastAsia="Aptos" w:cstheme="minorHAnsi"/>
          <w:b/>
          <w:bCs/>
          <w:kern w:val="0"/>
        </w:rPr>
        <w:t>3 Price Control Period.</w:t>
      </w:r>
    </w:p>
    <w:p w14:paraId="3E6DBEF1" w14:textId="29D897B3" w:rsidR="00725036" w:rsidRPr="00725036" w:rsidRDefault="00725036" w:rsidP="00725036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kern w:val="0"/>
        </w:rPr>
      </w:pPr>
      <w:r w:rsidRPr="00725036">
        <w:rPr>
          <w:rFonts w:eastAsia="Times New Roman" w:cstheme="minorHAnsi"/>
          <w:kern w:val="0"/>
        </w:rPr>
        <w:t>Re-banding requests received after the allocations for the E</w:t>
      </w:r>
      <w:r>
        <w:rPr>
          <w:rFonts w:eastAsia="Times New Roman" w:cstheme="minorHAnsi"/>
          <w:kern w:val="0"/>
        </w:rPr>
        <w:t>T</w:t>
      </w:r>
      <w:r w:rsidRPr="00725036">
        <w:rPr>
          <w:rFonts w:eastAsia="Times New Roman" w:cstheme="minorHAnsi"/>
          <w:kern w:val="0"/>
        </w:rPr>
        <w:t>3 Price Control Period have been completed, but prior to 1 April 2026, should be treated as two separate allocations:</w:t>
      </w:r>
    </w:p>
    <w:p w14:paraId="13430C4E" w14:textId="4686CE62" w:rsidR="00725036" w:rsidRPr="00725036" w:rsidRDefault="00725036" w:rsidP="00725036">
      <w:pPr>
        <w:numPr>
          <w:ilvl w:val="1"/>
          <w:numId w:val="2"/>
        </w:numPr>
        <w:spacing w:after="0" w:line="240" w:lineRule="auto"/>
        <w:rPr>
          <w:rFonts w:eastAsia="Times New Roman" w:cstheme="minorHAnsi"/>
          <w:kern w:val="0"/>
        </w:rPr>
      </w:pPr>
      <w:r w:rsidRPr="00725036">
        <w:rPr>
          <w:rFonts w:eastAsia="Times New Roman" w:cstheme="minorHAnsi"/>
          <w:kern w:val="0"/>
        </w:rPr>
        <w:t>one allocation for the current Price Control Period (“E</w:t>
      </w:r>
      <w:r>
        <w:rPr>
          <w:rFonts w:eastAsia="Times New Roman" w:cstheme="minorHAnsi"/>
          <w:kern w:val="0"/>
        </w:rPr>
        <w:t>T</w:t>
      </w:r>
      <w:r w:rsidRPr="00725036">
        <w:rPr>
          <w:rFonts w:eastAsia="Times New Roman" w:cstheme="minorHAnsi"/>
          <w:kern w:val="0"/>
        </w:rPr>
        <w:t>2”); and</w:t>
      </w:r>
    </w:p>
    <w:p w14:paraId="0E3BBD44" w14:textId="21768E54" w:rsidR="00725036" w:rsidRPr="00725036" w:rsidRDefault="00725036" w:rsidP="00725036">
      <w:pPr>
        <w:numPr>
          <w:ilvl w:val="1"/>
          <w:numId w:val="2"/>
        </w:numPr>
        <w:spacing w:after="0" w:line="240" w:lineRule="auto"/>
        <w:rPr>
          <w:rFonts w:eastAsia="Times New Roman" w:cstheme="minorHAnsi"/>
          <w:kern w:val="0"/>
        </w:rPr>
      </w:pPr>
      <w:r w:rsidRPr="00725036">
        <w:rPr>
          <w:rFonts w:eastAsia="Times New Roman" w:cstheme="minorHAnsi"/>
          <w:kern w:val="0"/>
        </w:rPr>
        <w:t>one allocation for the next Price Control Period (“E</w:t>
      </w:r>
      <w:r>
        <w:rPr>
          <w:rFonts w:eastAsia="Times New Roman" w:cstheme="minorHAnsi"/>
          <w:kern w:val="0"/>
        </w:rPr>
        <w:t>T</w:t>
      </w:r>
      <w:r w:rsidRPr="00725036">
        <w:rPr>
          <w:rFonts w:eastAsia="Times New Roman" w:cstheme="minorHAnsi"/>
          <w:kern w:val="0"/>
        </w:rPr>
        <w:t>3”).</w:t>
      </w:r>
    </w:p>
    <w:p w14:paraId="24D8A4A2" w14:textId="77777777" w:rsidR="00725036" w:rsidRPr="00725036" w:rsidRDefault="00725036" w:rsidP="00725036">
      <w:pPr>
        <w:spacing w:after="0" w:line="240" w:lineRule="auto"/>
        <w:ind w:left="1440"/>
        <w:rPr>
          <w:rFonts w:eastAsia="Aptos" w:cstheme="minorHAnsi"/>
          <w:kern w:val="0"/>
        </w:rPr>
      </w:pPr>
    </w:p>
    <w:p w14:paraId="2630A6E8" w14:textId="77B8B02D" w:rsidR="00725036" w:rsidRPr="00725036" w:rsidRDefault="00725036" w:rsidP="00725036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kern w:val="0"/>
        </w:rPr>
      </w:pPr>
      <w:r w:rsidRPr="00725036">
        <w:rPr>
          <w:rFonts w:eastAsia="Times New Roman" w:cstheme="minorHAnsi"/>
          <w:kern w:val="0"/>
        </w:rPr>
        <w:t>For the E</w:t>
      </w:r>
      <w:r>
        <w:rPr>
          <w:rFonts w:eastAsia="Times New Roman" w:cstheme="minorHAnsi"/>
          <w:kern w:val="0"/>
        </w:rPr>
        <w:t>T</w:t>
      </w:r>
      <w:r w:rsidRPr="00725036">
        <w:rPr>
          <w:rFonts w:eastAsia="Times New Roman" w:cstheme="minorHAnsi"/>
          <w:kern w:val="0"/>
        </w:rPr>
        <w:t>2 Price Control Period, the re-banding request must be assessed against:</w:t>
      </w:r>
    </w:p>
    <w:p w14:paraId="337FD3C5" w14:textId="0A5FDE5E" w:rsidR="00725036" w:rsidRPr="00725036" w:rsidRDefault="00725036" w:rsidP="00725036">
      <w:pPr>
        <w:numPr>
          <w:ilvl w:val="1"/>
          <w:numId w:val="1"/>
        </w:numPr>
        <w:spacing w:after="0" w:line="240" w:lineRule="auto"/>
        <w:rPr>
          <w:rFonts w:eastAsia="Times New Roman" w:cstheme="minorHAnsi"/>
          <w:kern w:val="0"/>
        </w:rPr>
      </w:pPr>
      <w:r w:rsidRPr="00725036">
        <w:rPr>
          <w:rFonts w:eastAsia="Times New Roman" w:cstheme="minorHAnsi"/>
          <w:kern w:val="0"/>
        </w:rPr>
        <w:t>The thresholds for the E</w:t>
      </w:r>
      <w:r>
        <w:rPr>
          <w:rFonts w:eastAsia="Times New Roman" w:cstheme="minorHAnsi"/>
          <w:kern w:val="0"/>
        </w:rPr>
        <w:t>T</w:t>
      </w:r>
      <w:r w:rsidRPr="00725036">
        <w:rPr>
          <w:rFonts w:eastAsia="Times New Roman" w:cstheme="minorHAnsi"/>
          <w:kern w:val="0"/>
        </w:rPr>
        <w:t>2 Price Control Period; and</w:t>
      </w:r>
    </w:p>
    <w:p w14:paraId="49EBFCF7" w14:textId="7DF4FDDD" w:rsidR="00725036" w:rsidRPr="00725036" w:rsidRDefault="00725036" w:rsidP="00725036">
      <w:pPr>
        <w:numPr>
          <w:ilvl w:val="1"/>
          <w:numId w:val="1"/>
        </w:numPr>
        <w:spacing w:after="0" w:line="240" w:lineRule="auto"/>
        <w:rPr>
          <w:rFonts w:eastAsia="Times New Roman" w:cstheme="minorHAnsi"/>
          <w:kern w:val="0"/>
        </w:rPr>
      </w:pPr>
      <w:r w:rsidRPr="00725036">
        <w:rPr>
          <w:rFonts w:eastAsia="Times New Roman" w:cstheme="minorHAnsi"/>
          <w:kern w:val="0"/>
        </w:rPr>
        <w:t>The MIC at the time of the last E</w:t>
      </w:r>
      <w:r>
        <w:rPr>
          <w:rFonts w:eastAsia="Times New Roman" w:cstheme="minorHAnsi"/>
          <w:kern w:val="0"/>
        </w:rPr>
        <w:t>T</w:t>
      </w:r>
      <w:r w:rsidRPr="00725036">
        <w:rPr>
          <w:rFonts w:eastAsia="Times New Roman" w:cstheme="minorHAnsi"/>
          <w:kern w:val="0"/>
        </w:rPr>
        <w:t>2 (or current) allocation.</w:t>
      </w:r>
    </w:p>
    <w:p w14:paraId="7D5465BF" w14:textId="77777777" w:rsidR="00725036" w:rsidRPr="00725036" w:rsidRDefault="00725036" w:rsidP="00725036">
      <w:pPr>
        <w:spacing w:after="0" w:line="240" w:lineRule="auto"/>
        <w:ind w:left="360" w:firstLine="360"/>
        <w:rPr>
          <w:rFonts w:eastAsia="Aptos" w:cstheme="minorHAnsi"/>
          <w:kern w:val="0"/>
        </w:rPr>
      </w:pPr>
      <w:r w:rsidRPr="00725036">
        <w:rPr>
          <w:rFonts w:eastAsia="Aptos" w:cstheme="minorHAnsi"/>
          <w:kern w:val="0"/>
        </w:rPr>
        <w:t>Upon successful application this would take effect now</w:t>
      </w:r>
    </w:p>
    <w:p w14:paraId="29D03E4F" w14:textId="77777777" w:rsidR="00725036" w:rsidRPr="00725036" w:rsidRDefault="00725036" w:rsidP="00725036">
      <w:pPr>
        <w:spacing w:after="0" w:line="240" w:lineRule="auto"/>
        <w:ind w:left="1440"/>
        <w:rPr>
          <w:rFonts w:eastAsia="Aptos" w:cstheme="minorHAnsi"/>
          <w:kern w:val="0"/>
        </w:rPr>
      </w:pPr>
    </w:p>
    <w:p w14:paraId="34F32229" w14:textId="6EB12E18" w:rsidR="00725036" w:rsidRPr="00725036" w:rsidRDefault="00725036" w:rsidP="00725036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kern w:val="0"/>
        </w:rPr>
      </w:pPr>
      <w:r w:rsidRPr="00725036">
        <w:rPr>
          <w:rFonts w:eastAsia="Times New Roman" w:cstheme="minorHAnsi"/>
          <w:kern w:val="0"/>
        </w:rPr>
        <w:t>For the E</w:t>
      </w:r>
      <w:r>
        <w:rPr>
          <w:rFonts w:eastAsia="Times New Roman" w:cstheme="minorHAnsi"/>
          <w:kern w:val="0"/>
        </w:rPr>
        <w:t>T</w:t>
      </w:r>
      <w:r w:rsidRPr="00725036">
        <w:rPr>
          <w:rFonts w:eastAsia="Times New Roman" w:cstheme="minorHAnsi"/>
          <w:kern w:val="0"/>
        </w:rPr>
        <w:t>3 Price Control Period, the re-banding request must be assessed against:</w:t>
      </w:r>
    </w:p>
    <w:p w14:paraId="6E7240FB" w14:textId="577CEA74" w:rsidR="00725036" w:rsidRPr="00725036" w:rsidRDefault="00725036" w:rsidP="00725036">
      <w:pPr>
        <w:numPr>
          <w:ilvl w:val="1"/>
          <w:numId w:val="1"/>
        </w:numPr>
        <w:spacing w:after="0" w:line="240" w:lineRule="auto"/>
        <w:rPr>
          <w:rFonts w:eastAsia="Times New Roman" w:cstheme="minorHAnsi"/>
          <w:kern w:val="0"/>
        </w:rPr>
      </w:pPr>
      <w:r w:rsidRPr="00725036">
        <w:rPr>
          <w:rFonts w:eastAsia="Times New Roman" w:cstheme="minorHAnsi"/>
          <w:kern w:val="0"/>
        </w:rPr>
        <w:t>the thresholds for the E</w:t>
      </w:r>
      <w:r>
        <w:rPr>
          <w:rFonts w:eastAsia="Times New Roman" w:cstheme="minorHAnsi"/>
          <w:kern w:val="0"/>
        </w:rPr>
        <w:t>T</w:t>
      </w:r>
      <w:r w:rsidRPr="00725036">
        <w:rPr>
          <w:rFonts w:eastAsia="Times New Roman" w:cstheme="minorHAnsi"/>
          <w:kern w:val="0"/>
        </w:rPr>
        <w:t>3 Price Control Period; and</w:t>
      </w:r>
    </w:p>
    <w:p w14:paraId="3033BEF7" w14:textId="75381026" w:rsidR="00725036" w:rsidRPr="00725036" w:rsidRDefault="00725036" w:rsidP="00725036">
      <w:pPr>
        <w:numPr>
          <w:ilvl w:val="1"/>
          <w:numId w:val="1"/>
        </w:numPr>
        <w:spacing w:after="0" w:line="240" w:lineRule="auto"/>
        <w:rPr>
          <w:rFonts w:eastAsia="Times New Roman" w:cstheme="minorHAnsi"/>
          <w:kern w:val="0"/>
        </w:rPr>
      </w:pPr>
      <w:r w:rsidRPr="00725036">
        <w:rPr>
          <w:rFonts w:eastAsia="Times New Roman" w:cstheme="minorHAnsi"/>
          <w:kern w:val="0"/>
        </w:rPr>
        <w:t>The MIC at the time of the E</w:t>
      </w:r>
      <w:r>
        <w:rPr>
          <w:rFonts w:eastAsia="Times New Roman" w:cstheme="minorHAnsi"/>
          <w:kern w:val="0"/>
        </w:rPr>
        <w:t>T</w:t>
      </w:r>
      <w:r w:rsidRPr="00725036">
        <w:rPr>
          <w:rFonts w:eastAsia="Times New Roman" w:cstheme="minorHAnsi"/>
          <w:kern w:val="0"/>
        </w:rPr>
        <w:t>3 allocation period;</w:t>
      </w:r>
    </w:p>
    <w:p w14:paraId="4C31E538" w14:textId="77777777" w:rsidR="00725036" w:rsidRPr="00725036" w:rsidRDefault="00725036" w:rsidP="00725036">
      <w:pPr>
        <w:spacing w:after="0" w:line="240" w:lineRule="auto"/>
        <w:ind w:firstLine="720"/>
        <w:rPr>
          <w:rFonts w:eastAsia="Aptos" w:cstheme="minorHAnsi"/>
          <w:kern w:val="0"/>
        </w:rPr>
      </w:pPr>
      <w:r w:rsidRPr="00725036">
        <w:rPr>
          <w:rFonts w:eastAsia="Aptos" w:cstheme="minorHAnsi"/>
          <w:kern w:val="0"/>
        </w:rPr>
        <w:t>Upon successful application this would take effect from 01/04/2026.</w:t>
      </w:r>
    </w:p>
    <w:p w14:paraId="79ADA5EF" w14:textId="77777777" w:rsidR="00C050AE" w:rsidRDefault="00C050AE">
      <w:pPr>
        <w:rPr>
          <w:rFonts w:cstheme="minorHAnsi"/>
          <w:sz w:val="20"/>
          <w:szCs w:val="20"/>
        </w:rPr>
      </w:pPr>
    </w:p>
    <w:p w14:paraId="6041AFE2" w14:textId="77777777" w:rsidR="00725036" w:rsidRPr="00725036" w:rsidRDefault="00725036" w:rsidP="00725036">
      <w:pPr>
        <w:spacing w:after="0" w:line="240" w:lineRule="auto"/>
        <w:rPr>
          <w:rFonts w:ascii="Aptos" w:eastAsia="Aptos" w:hAnsi="Aptos" w:cs="Aptos"/>
          <w:b/>
          <w:bCs/>
          <w:kern w:val="0"/>
          <w:sz w:val="24"/>
          <w:szCs w:val="24"/>
        </w:rPr>
      </w:pPr>
      <w:r w:rsidRPr="00725036">
        <w:rPr>
          <w:rFonts w:ascii="Aptos" w:eastAsia="Aptos" w:hAnsi="Aptos" w:cs="Aptos"/>
          <w:b/>
          <w:bCs/>
          <w:kern w:val="0"/>
          <w:sz w:val="24"/>
          <w:szCs w:val="24"/>
        </w:rPr>
        <w:t>A typical LV MIC site example below.</w:t>
      </w:r>
    </w:p>
    <w:p w14:paraId="53055894" w14:textId="77777777" w:rsidR="00725036" w:rsidRPr="00725036" w:rsidRDefault="00725036" w:rsidP="00725036">
      <w:pPr>
        <w:spacing w:after="0" w:line="240" w:lineRule="auto"/>
        <w:rPr>
          <w:rFonts w:ascii="Aptos" w:eastAsia="Aptos" w:hAnsi="Aptos" w:cs="Aptos"/>
          <w:kern w:val="0"/>
          <w:sz w:val="24"/>
          <w:szCs w:val="24"/>
        </w:rPr>
      </w:pPr>
    </w:p>
    <w:p w14:paraId="0F23F9B0" w14:textId="77777777" w:rsidR="00725036" w:rsidRPr="00725036" w:rsidRDefault="00725036" w:rsidP="00725036">
      <w:pPr>
        <w:numPr>
          <w:ilvl w:val="0"/>
          <w:numId w:val="3"/>
        </w:numPr>
        <w:spacing w:after="0" w:line="240" w:lineRule="auto"/>
        <w:rPr>
          <w:rFonts w:ascii="Aptos" w:eastAsia="Times New Roman" w:hAnsi="Aptos" w:cs="Aptos"/>
          <w:kern w:val="0"/>
          <w:sz w:val="24"/>
          <w:szCs w:val="24"/>
        </w:rPr>
      </w:pPr>
      <w:r w:rsidRPr="00725036">
        <w:rPr>
          <w:rFonts w:ascii="Aptos" w:eastAsia="Times New Roman" w:hAnsi="Aptos" w:cs="Aptos"/>
          <w:kern w:val="0"/>
          <w:sz w:val="24"/>
          <w:szCs w:val="24"/>
        </w:rPr>
        <w:t xml:space="preserve">The site had a MIC of 120kVA from 2015 to 2023. </w:t>
      </w:r>
    </w:p>
    <w:p w14:paraId="722E9932" w14:textId="77777777" w:rsidR="00725036" w:rsidRPr="00725036" w:rsidRDefault="00725036" w:rsidP="00725036">
      <w:pPr>
        <w:numPr>
          <w:ilvl w:val="0"/>
          <w:numId w:val="3"/>
        </w:numPr>
        <w:spacing w:after="0" w:line="240" w:lineRule="auto"/>
        <w:rPr>
          <w:rFonts w:ascii="Aptos" w:eastAsia="Times New Roman" w:hAnsi="Aptos" w:cs="Aptos"/>
          <w:kern w:val="0"/>
          <w:sz w:val="24"/>
          <w:szCs w:val="24"/>
        </w:rPr>
      </w:pPr>
      <w:r w:rsidRPr="00725036">
        <w:rPr>
          <w:rFonts w:ascii="Aptos" w:eastAsia="Times New Roman" w:hAnsi="Aptos" w:cs="Aptos"/>
          <w:kern w:val="0"/>
          <w:sz w:val="24"/>
          <w:szCs w:val="24"/>
        </w:rPr>
        <w:t>The site had an average MIC of 120kVA in the ET2 allocations, and their MIC was 120kVA when they were allocated.</w:t>
      </w:r>
    </w:p>
    <w:p w14:paraId="00B7FF37" w14:textId="77777777" w:rsidR="00725036" w:rsidRPr="00725036" w:rsidRDefault="00725036" w:rsidP="00725036">
      <w:pPr>
        <w:numPr>
          <w:ilvl w:val="0"/>
          <w:numId w:val="3"/>
        </w:numPr>
        <w:spacing w:after="0" w:line="240" w:lineRule="auto"/>
        <w:rPr>
          <w:rFonts w:ascii="Aptos" w:eastAsia="Times New Roman" w:hAnsi="Aptos" w:cs="Aptos"/>
          <w:kern w:val="0"/>
          <w:sz w:val="24"/>
          <w:szCs w:val="24"/>
        </w:rPr>
      </w:pPr>
      <w:r w:rsidRPr="00725036">
        <w:rPr>
          <w:rFonts w:ascii="Aptos" w:eastAsia="Times New Roman" w:hAnsi="Aptos" w:cs="Aptos"/>
          <w:kern w:val="0"/>
          <w:sz w:val="24"/>
          <w:szCs w:val="24"/>
        </w:rPr>
        <w:t>The site was allocated to LV band 2 and must reduce the MIC to 59kVA (or lower) to be eligible for an ET2 reallocation to LV band 1.</w:t>
      </w:r>
    </w:p>
    <w:p w14:paraId="2DC691C3" w14:textId="77777777" w:rsidR="00725036" w:rsidRPr="00725036" w:rsidRDefault="00725036" w:rsidP="00725036">
      <w:pPr>
        <w:numPr>
          <w:ilvl w:val="0"/>
          <w:numId w:val="3"/>
        </w:numPr>
        <w:spacing w:after="0" w:line="240" w:lineRule="auto"/>
        <w:rPr>
          <w:rFonts w:ascii="Aptos" w:eastAsia="Times New Roman" w:hAnsi="Aptos" w:cs="Aptos"/>
          <w:kern w:val="0"/>
          <w:sz w:val="24"/>
          <w:szCs w:val="24"/>
        </w:rPr>
      </w:pPr>
      <w:r w:rsidRPr="00725036">
        <w:rPr>
          <w:rFonts w:ascii="Aptos" w:eastAsia="Times New Roman" w:hAnsi="Aptos" w:cs="Aptos"/>
          <w:kern w:val="0"/>
          <w:sz w:val="24"/>
          <w:szCs w:val="24"/>
        </w:rPr>
        <w:t xml:space="preserve">In January 2023 the site increased their MIC to </w:t>
      </w:r>
      <w:proofErr w:type="gramStart"/>
      <w:r w:rsidRPr="00725036">
        <w:rPr>
          <w:rFonts w:ascii="Aptos" w:eastAsia="Times New Roman" w:hAnsi="Aptos" w:cs="Aptos"/>
          <w:kern w:val="0"/>
          <w:sz w:val="24"/>
          <w:szCs w:val="24"/>
        </w:rPr>
        <w:t>180kVA, and</w:t>
      </w:r>
      <w:proofErr w:type="gramEnd"/>
      <w:r w:rsidRPr="00725036">
        <w:rPr>
          <w:rFonts w:ascii="Aptos" w:eastAsia="Times New Roman" w:hAnsi="Aptos" w:cs="Aptos"/>
          <w:kern w:val="0"/>
          <w:sz w:val="24"/>
          <w:szCs w:val="24"/>
        </w:rPr>
        <w:t xml:space="preserve"> remained in LV band 2.</w:t>
      </w:r>
    </w:p>
    <w:p w14:paraId="35D2A2D5" w14:textId="77777777" w:rsidR="00725036" w:rsidRPr="00725036" w:rsidRDefault="00725036" w:rsidP="00725036">
      <w:pPr>
        <w:numPr>
          <w:ilvl w:val="0"/>
          <w:numId w:val="3"/>
        </w:numPr>
        <w:spacing w:after="0" w:line="240" w:lineRule="auto"/>
        <w:rPr>
          <w:rFonts w:ascii="Aptos" w:eastAsia="Times New Roman" w:hAnsi="Aptos" w:cs="Aptos"/>
          <w:kern w:val="0"/>
          <w:sz w:val="24"/>
          <w:szCs w:val="24"/>
        </w:rPr>
      </w:pPr>
      <w:r w:rsidRPr="00725036">
        <w:rPr>
          <w:rFonts w:ascii="Aptos" w:eastAsia="Times New Roman" w:hAnsi="Aptos" w:cs="Aptos"/>
          <w:kern w:val="0"/>
          <w:sz w:val="24"/>
          <w:szCs w:val="24"/>
        </w:rPr>
        <w:t>The average MIC was 180kVA in the initial ET3 allocations, and the MIC was 180kVA when the ET3 allocation took place.</w:t>
      </w:r>
    </w:p>
    <w:p w14:paraId="6CBDA52C" w14:textId="77777777" w:rsidR="00725036" w:rsidRPr="00725036" w:rsidRDefault="00725036" w:rsidP="00725036">
      <w:pPr>
        <w:numPr>
          <w:ilvl w:val="0"/>
          <w:numId w:val="3"/>
        </w:numPr>
        <w:spacing w:after="0" w:line="240" w:lineRule="auto"/>
        <w:rPr>
          <w:rFonts w:ascii="Aptos" w:eastAsia="Times New Roman" w:hAnsi="Aptos" w:cs="Aptos"/>
          <w:kern w:val="0"/>
          <w:sz w:val="24"/>
          <w:szCs w:val="24"/>
        </w:rPr>
      </w:pPr>
      <w:r w:rsidRPr="00725036">
        <w:rPr>
          <w:rFonts w:ascii="Aptos" w:eastAsia="Times New Roman" w:hAnsi="Aptos" w:cs="Aptos"/>
          <w:kern w:val="0"/>
          <w:sz w:val="24"/>
          <w:szCs w:val="24"/>
        </w:rPr>
        <w:t>They were allocated to LV band 3 from April 2026 and must reduce the MIC to 89kVA (or lower )to be eligible for an ET3 reallocation.</w:t>
      </w:r>
    </w:p>
    <w:p w14:paraId="42767EC6" w14:textId="77777777" w:rsidR="00725036" w:rsidRPr="00725036" w:rsidRDefault="00725036" w:rsidP="00725036">
      <w:pPr>
        <w:spacing w:after="0" w:line="240" w:lineRule="auto"/>
        <w:ind w:left="720"/>
        <w:rPr>
          <w:rFonts w:ascii="Aptos" w:eastAsia="Aptos" w:hAnsi="Aptos" w:cs="Aptos"/>
          <w:kern w:val="0"/>
          <w:sz w:val="24"/>
          <w:szCs w:val="24"/>
        </w:rPr>
      </w:pPr>
    </w:p>
    <w:p w14:paraId="56EA3A16" w14:textId="77777777" w:rsidR="00725036" w:rsidRPr="00725036" w:rsidRDefault="00725036" w:rsidP="00725036">
      <w:pPr>
        <w:numPr>
          <w:ilvl w:val="0"/>
          <w:numId w:val="4"/>
        </w:numPr>
        <w:spacing w:after="0" w:line="240" w:lineRule="auto"/>
        <w:ind w:left="360"/>
        <w:rPr>
          <w:rFonts w:ascii="Aptos" w:eastAsia="Aptos" w:hAnsi="Aptos" w:cs="Aptos"/>
          <w:kern w:val="0"/>
          <w:sz w:val="24"/>
          <w:szCs w:val="24"/>
        </w:rPr>
      </w:pPr>
      <w:r w:rsidRPr="00725036">
        <w:rPr>
          <w:rFonts w:ascii="Aptos" w:eastAsia="Aptos" w:hAnsi="Aptos" w:cs="Aptos"/>
          <w:kern w:val="0"/>
          <w:sz w:val="24"/>
          <w:szCs w:val="24"/>
        </w:rPr>
        <w:t>If the customer reduces the MIC to 59kVA they would be eligible for a reallocation to band 1 for the current allocation (ET2) AND for the ET3 allocation.</w:t>
      </w:r>
    </w:p>
    <w:p w14:paraId="72C334C2" w14:textId="77777777" w:rsidR="00725036" w:rsidRPr="00725036" w:rsidRDefault="00725036" w:rsidP="00725036">
      <w:pPr>
        <w:spacing w:after="0" w:line="240" w:lineRule="auto"/>
        <w:ind w:left="1080"/>
        <w:rPr>
          <w:rFonts w:ascii="Aptos" w:eastAsia="Aptos" w:hAnsi="Aptos" w:cs="Aptos"/>
          <w:kern w:val="0"/>
          <w:sz w:val="24"/>
          <w:szCs w:val="24"/>
        </w:rPr>
      </w:pPr>
    </w:p>
    <w:p w14:paraId="45CBDD5A" w14:textId="77777777" w:rsidR="00725036" w:rsidRPr="00725036" w:rsidRDefault="00725036" w:rsidP="00725036">
      <w:pPr>
        <w:numPr>
          <w:ilvl w:val="0"/>
          <w:numId w:val="4"/>
        </w:numPr>
        <w:spacing w:after="0" w:line="240" w:lineRule="auto"/>
        <w:ind w:left="360"/>
        <w:rPr>
          <w:rFonts w:ascii="Aptos" w:eastAsia="Aptos" w:hAnsi="Aptos" w:cs="Aptos"/>
          <w:kern w:val="0"/>
          <w:sz w:val="24"/>
          <w:szCs w:val="24"/>
        </w:rPr>
      </w:pPr>
      <w:r w:rsidRPr="00725036">
        <w:rPr>
          <w:rFonts w:ascii="Aptos" w:eastAsia="Aptos" w:hAnsi="Aptos" w:cs="Aptos"/>
          <w:kern w:val="0"/>
          <w:sz w:val="24"/>
          <w:szCs w:val="24"/>
        </w:rPr>
        <w:t>If the customer reduces the MIC to 89kVA they would only be eligible for an ET3 reallocation and would not be eligible for an ET2 reallocation because:</w:t>
      </w:r>
    </w:p>
    <w:p w14:paraId="38F7AEAC" w14:textId="77777777" w:rsidR="00725036" w:rsidRPr="00725036" w:rsidRDefault="00725036" w:rsidP="00725036">
      <w:pPr>
        <w:numPr>
          <w:ilvl w:val="0"/>
          <w:numId w:val="3"/>
        </w:numPr>
        <w:spacing w:after="0" w:line="240" w:lineRule="auto"/>
        <w:rPr>
          <w:rFonts w:ascii="Aptos" w:eastAsia="Times New Roman" w:hAnsi="Aptos" w:cs="Aptos"/>
          <w:kern w:val="0"/>
          <w:sz w:val="24"/>
          <w:szCs w:val="24"/>
        </w:rPr>
      </w:pPr>
      <w:r w:rsidRPr="00725036">
        <w:rPr>
          <w:rFonts w:ascii="Aptos" w:eastAsia="Times New Roman" w:hAnsi="Aptos" w:cs="Aptos"/>
          <w:kern w:val="0"/>
          <w:sz w:val="24"/>
          <w:szCs w:val="24"/>
        </w:rPr>
        <w:t>For ET2:</w:t>
      </w:r>
    </w:p>
    <w:p w14:paraId="10F4C252" w14:textId="77777777" w:rsidR="00725036" w:rsidRPr="00725036" w:rsidRDefault="00725036" w:rsidP="00725036">
      <w:pPr>
        <w:numPr>
          <w:ilvl w:val="1"/>
          <w:numId w:val="3"/>
        </w:numPr>
        <w:spacing w:after="0" w:line="240" w:lineRule="auto"/>
        <w:rPr>
          <w:rFonts w:ascii="Aptos" w:eastAsia="Times New Roman" w:hAnsi="Aptos" w:cs="Aptos"/>
          <w:kern w:val="0"/>
          <w:sz w:val="24"/>
          <w:szCs w:val="24"/>
        </w:rPr>
      </w:pPr>
      <w:r w:rsidRPr="00725036">
        <w:rPr>
          <w:rFonts w:ascii="Aptos" w:eastAsia="Times New Roman" w:hAnsi="Aptos" w:cs="Aptos"/>
          <w:kern w:val="0"/>
          <w:sz w:val="24"/>
          <w:szCs w:val="24"/>
        </w:rPr>
        <w:t>They have not met the minimum 50% threshold against the MIC at the time of the ET2 allocation (120kVA); and</w:t>
      </w:r>
    </w:p>
    <w:p w14:paraId="18CF825B" w14:textId="77777777" w:rsidR="00725036" w:rsidRPr="00725036" w:rsidRDefault="00725036" w:rsidP="00725036">
      <w:pPr>
        <w:numPr>
          <w:ilvl w:val="1"/>
          <w:numId w:val="3"/>
        </w:numPr>
        <w:spacing w:after="0" w:line="240" w:lineRule="auto"/>
        <w:rPr>
          <w:rFonts w:ascii="Aptos" w:eastAsia="Times New Roman" w:hAnsi="Aptos" w:cs="Aptos"/>
          <w:kern w:val="0"/>
          <w:sz w:val="24"/>
          <w:szCs w:val="24"/>
        </w:rPr>
      </w:pPr>
      <w:r w:rsidRPr="00725036">
        <w:rPr>
          <w:rFonts w:ascii="Aptos" w:eastAsia="Times New Roman" w:hAnsi="Aptos" w:cs="Aptos"/>
          <w:kern w:val="0"/>
          <w:sz w:val="24"/>
          <w:szCs w:val="24"/>
        </w:rPr>
        <w:t>In this instance the reduction (even if it met the 50%) is still within ET2 band 2 thresholds.</w:t>
      </w:r>
    </w:p>
    <w:p w14:paraId="6BC8AA3B" w14:textId="77777777" w:rsidR="00725036" w:rsidRPr="00725036" w:rsidRDefault="00725036" w:rsidP="00725036">
      <w:pPr>
        <w:numPr>
          <w:ilvl w:val="0"/>
          <w:numId w:val="3"/>
        </w:numPr>
        <w:spacing w:after="0" w:line="240" w:lineRule="auto"/>
        <w:rPr>
          <w:rFonts w:ascii="Aptos" w:eastAsia="Times New Roman" w:hAnsi="Aptos" w:cs="Aptos"/>
          <w:kern w:val="0"/>
          <w:sz w:val="24"/>
          <w:szCs w:val="24"/>
        </w:rPr>
      </w:pPr>
      <w:r w:rsidRPr="00725036">
        <w:rPr>
          <w:rFonts w:ascii="Aptos" w:eastAsia="Times New Roman" w:hAnsi="Aptos" w:cs="Aptos"/>
          <w:kern w:val="0"/>
          <w:sz w:val="24"/>
          <w:szCs w:val="24"/>
        </w:rPr>
        <w:t>For ET3:</w:t>
      </w:r>
    </w:p>
    <w:p w14:paraId="0C379D16" w14:textId="77777777" w:rsidR="00725036" w:rsidRPr="00725036" w:rsidRDefault="00725036" w:rsidP="00725036">
      <w:pPr>
        <w:numPr>
          <w:ilvl w:val="1"/>
          <w:numId w:val="3"/>
        </w:numPr>
        <w:spacing w:after="0" w:line="240" w:lineRule="auto"/>
        <w:rPr>
          <w:rFonts w:ascii="Aptos" w:eastAsia="Times New Roman" w:hAnsi="Aptos" w:cs="Aptos"/>
          <w:kern w:val="0"/>
          <w:sz w:val="24"/>
          <w:szCs w:val="24"/>
        </w:rPr>
      </w:pPr>
      <w:r w:rsidRPr="00725036">
        <w:rPr>
          <w:rFonts w:ascii="Aptos" w:eastAsia="Times New Roman" w:hAnsi="Aptos" w:cs="Aptos"/>
          <w:kern w:val="0"/>
          <w:sz w:val="24"/>
          <w:szCs w:val="24"/>
        </w:rPr>
        <w:t>They have met the minimum 50% threshold against the MIC at the time of the ET3 allocation (180kVA); and</w:t>
      </w:r>
    </w:p>
    <w:p w14:paraId="4C920E03" w14:textId="77777777" w:rsidR="00725036" w:rsidRPr="00725036" w:rsidRDefault="00725036" w:rsidP="00725036">
      <w:pPr>
        <w:numPr>
          <w:ilvl w:val="1"/>
          <w:numId w:val="3"/>
        </w:numPr>
        <w:spacing w:after="0" w:line="240" w:lineRule="auto"/>
        <w:rPr>
          <w:rFonts w:ascii="Aptos" w:eastAsia="Times New Roman" w:hAnsi="Aptos" w:cs="Aptos"/>
          <w:kern w:val="0"/>
          <w:sz w:val="24"/>
          <w:szCs w:val="24"/>
        </w:rPr>
      </w:pPr>
      <w:r w:rsidRPr="00725036">
        <w:rPr>
          <w:rFonts w:ascii="Aptos" w:eastAsia="Times New Roman" w:hAnsi="Aptos" w:cs="Aptos"/>
          <w:kern w:val="0"/>
          <w:sz w:val="24"/>
          <w:szCs w:val="24"/>
        </w:rPr>
        <w:t>In this instance the reduction is within the ET3 band 1 thresholds.</w:t>
      </w:r>
    </w:p>
    <w:p w14:paraId="1A306BB3" w14:textId="77777777" w:rsidR="00725036" w:rsidRPr="00725036" w:rsidRDefault="00725036" w:rsidP="00725036">
      <w:pPr>
        <w:spacing w:after="0" w:line="240" w:lineRule="auto"/>
        <w:rPr>
          <w:rFonts w:ascii="Aptos" w:eastAsia="Aptos" w:hAnsi="Aptos" w:cs="Aptos"/>
          <w:kern w:val="0"/>
        </w:rPr>
      </w:pPr>
    </w:p>
    <w:p w14:paraId="4EA06700" w14:textId="77777777" w:rsidR="00725036" w:rsidRPr="00725036" w:rsidRDefault="00725036" w:rsidP="00725036">
      <w:pPr>
        <w:spacing w:after="0" w:line="240" w:lineRule="auto"/>
        <w:rPr>
          <w:rFonts w:ascii="Aptos" w:eastAsia="Aptos" w:hAnsi="Aptos" w:cs="Aptos"/>
          <w:kern w:val="0"/>
          <w:sz w:val="24"/>
          <w:szCs w:val="24"/>
        </w:rPr>
      </w:pPr>
    </w:p>
    <w:p w14:paraId="7A9C54F2" w14:textId="77777777" w:rsidR="00725036" w:rsidRPr="00725036" w:rsidRDefault="00725036" w:rsidP="00725036">
      <w:pPr>
        <w:numPr>
          <w:ilvl w:val="0"/>
          <w:numId w:val="4"/>
        </w:numPr>
        <w:spacing w:after="0" w:line="240" w:lineRule="auto"/>
        <w:ind w:left="360"/>
        <w:rPr>
          <w:rFonts w:ascii="Aptos" w:eastAsia="Aptos" w:hAnsi="Aptos" w:cs="Aptos"/>
          <w:kern w:val="0"/>
          <w:sz w:val="24"/>
          <w:szCs w:val="24"/>
        </w:rPr>
      </w:pPr>
      <w:r w:rsidRPr="00725036">
        <w:rPr>
          <w:rFonts w:ascii="Aptos" w:eastAsia="Aptos" w:hAnsi="Aptos" w:cs="Aptos"/>
          <w:kern w:val="0"/>
          <w:sz w:val="24"/>
          <w:szCs w:val="24"/>
        </w:rPr>
        <w:lastRenderedPageBreak/>
        <w:t>When the migration to ET3 bands takes place in April 2026, this customer would be migrated to band 1 rather than band 3 as they were in the initial ET3 allocations.</w:t>
      </w:r>
    </w:p>
    <w:p w14:paraId="707E899E" w14:textId="77777777" w:rsidR="00725036" w:rsidRPr="00725036" w:rsidRDefault="00725036">
      <w:pPr>
        <w:rPr>
          <w:rFonts w:cstheme="minorHAnsi"/>
          <w:sz w:val="20"/>
          <w:szCs w:val="20"/>
        </w:rPr>
      </w:pPr>
    </w:p>
    <w:sectPr w:rsidR="00725036" w:rsidRPr="00725036" w:rsidSect="00A03ADD">
      <w:pgSz w:w="11906" w:h="16838" w:code="9"/>
      <w:pgMar w:top="2269" w:right="1134" w:bottom="1134" w:left="1134" w:header="454" w:footer="471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7F4"/>
    <w:multiLevelType w:val="hybridMultilevel"/>
    <w:tmpl w:val="A9129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165C6"/>
    <w:multiLevelType w:val="hybridMultilevel"/>
    <w:tmpl w:val="3A9278C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467A2E"/>
    <w:multiLevelType w:val="hybridMultilevel"/>
    <w:tmpl w:val="DDA21AF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EA6899"/>
    <w:multiLevelType w:val="hybridMultilevel"/>
    <w:tmpl w:val="EFBEDC1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03757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55767057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68008323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033989909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36"/>
    <w:rsid w:val="00611C29"/>
    <w:rsid w:val="00725036"/>
    <w:rsid w:val="00A03ADD"/>
    <w:rsid w:val="00B91F9C"/>
    <w:rsid w:val="00C0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C1BBA"/>
  <w15:chartTrackingRefBased/>
  <w15:docId w15:val="{45298F18-6D77-47B6-9B22-A12BEFCD9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0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0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0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0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0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0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0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0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0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0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0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0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03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03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0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0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0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0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0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0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0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0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0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0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0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03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0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03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03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7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067D8106D2C244845E371D96267B92" ma:contentTypeVersion="5" ma:contentTypeDescription="Create a new document." ma:contentTypeScope="" ma:versionID="116ec7b2c046121e5d97f2ed6cb5b990">
  <xsd:schema xmlns:xsd="http://www.w3.org/2001/XMLSchema" xmlns:xs="http://www.w3.org/2001/XMLSchema" xmlns:p="http://schemas.microsoft.com/office/2006/metadata/properties" xmlns:ns2="b2735f37-f050-41e5-8a5e-d82ee095ede3" targetNamespace="http://schemas.microsoft.com/office/2006/metadata/properties" ma:root="true" ma:fieldsID="34e15bc1c48583597b93b37a0d9800cc" ns2:_="">
    <xsd:import namespace="b2735f37-f050-41e5-8a5e-d82ee095e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35f37-f050-41e5-8a5e-d82ee095ed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d" ma:index="11" nillable="true" ma:displayName="Reviewed" ma:default="0" ma:format="Dropdown" ma:hidden="true" ma:internalName="Reviewe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d xmlns="b2735f37-f050-41e5-8a5e-d82ee095ede3">false</Reviewed>
  </documentManagement>
</p:properties>
</file>

<file path=customXml/itemProps1.xml><?xml version="1.0" encoding="utf-8"?>
<ds:datastoreItem xmlns:ds="http://schemas.openxmlformats.org/officeDocument/2006/customXml" ds:itemID="{84789996-92BB-4B27-A322-B049F24AF3A0}"/>
</file>

<file path=customXml/itemProps2.xml><?xml version="1.0" encoding="utf-8"?>
<ds:datastoreItem xmlns:ds="http://schemas.openxmlformats.org/officeDocument/2006/customXml" ds:itemID="{46349EFC-7E75-4D32-8527-D50E853B06B0}"/>
</file>

<file path=customXml/itemProps3.xml><?xml version="1.0" encoding="utf-8"?>
<ds:datastoreItem xmlns:ds="http://schemas.openxmlformats.org/officeDocument/2006/customXml" ds:itemID="{6890AC09-6E47-4ADD-BCCE-94CC6F1E0E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Booth</dc:creator>
  <cp:keywords/>
  <dc:description/>
  <cp:lastModifiedBy>Craig Booth</cp:lastModifiedBy>
  <cp:revision>1</cp:revision>
  <dcterms:created xsi:type="dcterms:W3CDTF">2025-09-04T15:42:00Z</dcterms:created>
  <dcterms:modified xsi:type="dcterms:W3CDTF">2025-09-04T15:45:00Z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0x01010045067D8106D2C244845E371D96267B92</vt:lpwstr>
  </property>
</Properties>
</file>